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FA" w:rsidRPr="00C95C0F" w:rsidRDefault="000306BB" w:rsidP="00C95C0F">
      <w:pPr>
        <w:ind w:left="-426"/>
        <w:rPr>
          <w:b/>
          <w:sz w:val="32"/>
        </w:rPr>
      </w:pPr>
      <w:bookmarkStart w:id="0" w:name="_GoBack"/>
      <w:bookmarkEnd w:id="0"/>
      <w:r w:rsidRPr="00A769FA">
        <w:rPr>
          <w:b/>
          <w:sz w:val="32"/>
        </w:rPr>
        <w:t>UK Community Renewal Fund</w:t>
      </w:r>
      <w:r w:rsidR="00976ED5">
        <w:rPr>
          <w:b/>
          <w:sz w:val="32"/>
        </w:rPr>
        <w:br/>
        <w:t>Mansfield, Bassetlaw, Newark &amp; Sherwood theme priorities.</w:t>
      </w:r>
    </w:p>
    <w:tbl>
      <w:tblPr>
        <w:tblStyle w:val="TableGrid"/>
        <w:tblW w:w="14884" w:type="dxa"/>
        <w:tblInd w:w="-714" w:type="dxa"/>
        <w:tblLook w:val="04A0" w:firstRow="1" w:lastRow="0" w:firstColumn="1" w:lastColumn="0" w:noHBand="0" w:noVBand="1"/>
      </w:tblPr>
      <w:tblGrid>
        <w:gridCol w:w="1702"/>
        <w:gridCol w:w="2404"/>
        <w:gridCol w:w="4683"/>
        <w:gridCol w:w="4394"/>
        <w:gridCol w:w="1701"/>
      </w:tblGrid>
      <w:tr w:rsidR="00E52566" w:rsidRPr="003241C5" w:rsidTr="00E52566">
        <w:tc>
          <w:tcPr>
            <w:tcW w:w="1702" w:type="dxa"/>
          </w:tcPr>
          <w:p w:rsidR="00E52566" w:rsidRPr="003241C5" w:rsidRDefault="00E52566">
            <w:pPr>
              <w:rPr>
                <w:b/>
              </w:rPr>
            </w:pPr>
            <w:r w:rsidRPr="003241C5">
              <w:rPr>
                <w:b/>
              </w:rPr>
              <w:t xml:space="preserve">Thematic Area </w:t>
            </w:r>
          </w:p>
        </w:tc>
        <w:tc>
          <w:tcPr>
            <w:tcW w:w="2404" w:type="dxa"/>
          </w:tcPr>
          <w:p w:rsidR="00E52566" w:rsidRPr="003241C5" w:rsidRDefault="00E52566">
            <w:pPr>
              <w:rPr>
                <w:b/>
              </w:rPr>
            </w:pPr>
            <w:r w:rsidRPr="003241C5">
              <w:rPr>
                <w:b/>
              </w:rPr>
              <w:t xml:space="preserve">Example of Projects </w:t>
            </w:r>
          </w:p>
        </w:tc>
        <w:tc>
          <w:tcPr>
            <w:tcW w:w="4683" w:type="dxa"/>
          </w:tcPr>
          <w:p w:rsidR="00E52566" w:rsidRDefault="00E52566">
            <w:pPr>
              <w:rPr>
                <w:b/>
              </w:rPr>
            </w:pPr>
            <w:r>
              <w:rPr>
                <w:b/>
              </w:rPr>
              <w:t xml:space="preserve">Focus </w:t>
            </w:r>
          </w:p>
        </w:tc>
        <w:tc>
          <w:tcPr>
            <w:tcW w:w="4394" w:type="dxa"/>
          </w:tcPr>
          <w:p w:rsidR="00E52566" w:rsidRDefault="00E52566">
            <w:pPr>
              <w:rPr>
                <w:b/>
              </w:rPr>
            </w:pPr>
            <w:r>
              <w:rPr>
                <w:b/>
              </w:rPr>
              <w:t xml:space="preserve">Place Requirements </w:t>
            </w:r>
          </w:p>
        </w:tc>
        <w:tc>
          <w:tcPr>
            <w:tcW w:w="1701" w:type="dxa"/>
          </w:tcPr>
          <w:p w:rsidR="00E52566" w:rsidRPr="003241C5" w:rsidRDefault="00E52566">
            <w:pPr>
              <w:rPr>
                <w:b/>
              </w:rPr>
            </w:pPr>
            <w:r>
              <w:rPr>
                <w:b/>
              </w:rPr>
              <w:t xml:space="preserve">District Coverage  </w:t>
            </w:r>
          </w:p>
        </w:tc>
      </w:tr>
      <w:tr w:rsidR="00E52566" w:rsidTr="00E52566">
        <w:tc>
          <w:tcPr>
            <w:tcW w:w="1702" w:type="dxa"/>
            <w:vMerge w:val="restart"/>
          </w:tcPr>
          <w:p w:rsidR="00E52566" w:rsidRPr="00CB4A68" w:rsidRDefault="00E52566">
            <w:pPr>
              <w:rPr>
                <w:b/>
              </w:rPr>
            </w:pPr>
            <w:r>
              <w:rPr>
                <w:b/>
              </w:rPr>
              <w:t xml:space="preserve">Enterprise </w:t>
            </w:r>
            <w:r w:rsidRPr="00CB4A68">
              <w:rPr>
                <w:b/>
              </w:rPr>
              <w:t xml:space="preserve"> </w:t>
            </w:r>
          </w:p>
        </w:tc>
        <w:tc>
          <w:tcPr>
            <w:tcW w:w="2404" w:type="dxa"/>
          </w:tcPr>
          <w:p w:rsidR="00E52566" w:rsidRDefault="00E52566">
            <w:r>
              <w:t xml:space="preserve">Town Centre, retail and market traders Business Support Programme with financial support  </w:t>
            </w:r>
          </w:p>
          <w:p w:rsidR="00E52566" w:rsidRDefault="00E52566" w:rsidP="003241C5"/>
        </w:tc>
        <w:tc>
          <w:tcPr>
            <w:tcW w:w="4683" w:type="dxa"/>
          </w:tcPr>
          <w:p w:rsidR="00E52566" w:rsidRDefault="00E52566">
            <w:r>
              <w:t>Digital skills and capabilities</w:t>
            </w:r>
          </w:p>
          <w:p w:rsidR="00E52566" w:rsidRDefault="00E52566">
            <w:r>
              <w:t xml:space="preserve">Diversification; effective branding; marketing; customer perception; successfully delivering a blend of in-store and online. Encourage peer-to-peer activities across town centre locations, </w:t>
            </w:r>
            <w:r w:rsidRPr="00392B2B">
              <w:t xml:space="preserve">Grant </w:t>
            </w:r>
            <w:r>
              <w:t xml:space="preserve">to support establishment/enhancement of e-commerce/online marketing </w:t>
            </w:r>
          </w:p>
        </w:tc>
        <w:tc>
          <w:tcPr>
            <w:tcW w:w="4394" w:type="dxa"/>
          </w:tcPr>
          <w:p w:rsidR="00E52566" w:rsidRDefault="00E52566">
            <w:r>
              <w:t xml:space="preserve">Establishment of a Business &amp; Retail Forum </w:t>
            </w:r>
          </w:p>
          <w:p w:rsidR="00E52566" w:rsidRDefault="00E52566">
            <w:r>
              <w:t>Delivery across Worksop, Retford, Harworth and Tuxford, Mansfield, Mansfield Woodhouse, Forest town and Warsop, Newark, Ollerton, Edwinstowe, Southwell</w:t>
            </w:r>
          </w:p>
        </w:tc>
        <w:tc>
          <w:tcPr>
            <w:tcW w:w="1701" w:type="dxa"/>
          </w:tcPr>
          <w:p w:rsidR="00E52566" w:rsidRDefault="00E52566">
            <w:r>
              <w:t xml:space="preserve">3 priority districts </w:t>
            </w:r>
          </w:p>
        </w:tc>
      </w:tr>
      <w:tr w:rsidR="00E52566" w:rsidTr="00E52566">
        <w:tc>
          <w:tcPr>
            <w:tcW w:w="1702" w:type="dxa"/>
            <w:vMerge/>
          </w:tcPr>
          <w:p w:rsidR="00E52566" w:rsidRDefault="00E52566"/>
        </w:tc>
        <w:tc>
          <w:tcPr>
            <w:tcW w:w="2404" w:type="dxa"/>
          </w:tcPr>
          <w:p w:rsidR="00E52566" w:rsidRDefault="00E52566" w:rsidP="003241C5">
            <w:r>
              <w:t xml:space="preserve">Business Start-Up Programme with financial support </w:t>
            </w:r>
          </w:p>
          <w:p w:rsidR="00E52566" w:rsidRDefault="00E52566"/>
        </w:tc>
        <w:tc>
          <w:tcPr>
            <w:tcW w:w="4683" w:type="dxa"/>
          </w:tcPr>
          <w:p w:rsidR="00E52566" w:rsidRDefault="00E52566">
            <w:r>
              <w:t xml:space="preserve">Business start-up support programme open to all but targeted at those that are newly unemployed exploring self-employment </w:t>
            </w:r>
          </w:p>
        </w:tc>
        <w:tc>
          <w:tcPr>
            <w:tcW w:w="4394" w:type="dxa"/>
          </w:tcPr>
          <w:p w:rsidR="00E52566" w:rsidRDefault="00E52566">
            <w:r>
              <w:t xml:space="preserve">18-24 years </w:t>
            </w:r>
          </w:p>
          <w:p w:rsidR="00E52566" w:rsidRDefault="00E52566">
            <w:r>
              <w:t xml:space="preserve">25+ skilled individuals due to redundancy  </w:t>
            </w:r>
          </w:p>
          <w:p w:rsidR="00E52566" w:rsidRDefault="00E52566">
            <w:r>
              <w:t>Consideration for rural areas</w:t>
            </w:r>
          </w:p>
          <w:p w:rsidR="00E52566" w:rsidRDefault="00E52566">
            <w:r>
              <w:t xml:space="preserve">Women in enterprise </w:t>
            </w:r>
          </w:p>
        </w:tc>
        <w:tc>
          <w:tcPr>
            <w:tcW w:w="1701" w:type="dxa"/>
          </w:tcPr>
          <w:p w:rsidR="00E52566" w:rsidRDefault="00E52566">
            <w:r>
              <w:t xml:space="preserve">3 priority districts </w:t>
            </w:r>
          </w:p>
        </w:tc>
      </w:tr>
      <w:tr w:rsidR="00E52566" w:rsidTr="00E52566">
        <w:tc>
          <w:tcPr>
            <w:tcW w:w="1702" w:type="dxa"/>
            <w:vMerge/>
          </w:tcPr>
          <w:p w:rsidR="00E52566" w:rsidRDefault="00E52566"/>
        </w:tc>
        <w:tc>
          <w:tcPr>
            <w:tcW w:w="2404" w:type="dxa"/>
          </w:tcPr>
          <w:p w:rsidR="00E52566" w:rsidRDefault="00E52566">
            <w:r>
              <w:t xml:space="preserve">Emerging Sectors Programme with financial support </w:t>
            </w:r>
          </w:p>
        </w:tc>
        <w:tc>
          <w:tcPr>
            <w:tcW w:w="4683" w:type="dxa"/>
          </w:tcPr>
          <w:p w:rsidR="00E52566" w:rsidRDefault="00E52566" w:rsidP="00A33F6B">
            <w:r>
              <w:t>Business support programme for</w:t>
            </w:r>
            <w:r w:rsidRPr="00CB4A68">
              <w:t xml:space="preserve"> growth sectors within area</w:t>
            </w:r>
            <w:r>
              <w:t>s</w:t>
            </w:r>
            <w:r w:rsidRPr="00CB4A68">
              <w:t xml:space="preserve"> through specialist support, mentoring and finance.</w:t>
            </w:r>
          </w:p>
        </w:tc>
        <w:tc>
          <w:tcPr>
            <w:tcW w:w="4394" w:type="dxa"/>
          </w:tcPr>
          <w:p w:rsidR="00E52566" w:rsidRDefault="00E52566" w:rsidP="00A33F6B">
            <w:r>
              <w:t>Increase productivity; knowledge transfer; leadership and management</w:t>
            </w:r>
          </w:p>
          <w:p w:rsidR="00E52566" w:rsidRDefault="00E52566" w:rsidP="00A33F6B">
            <w:r>
              <w:t xml:space="preserve">Coverage in rural economy   </w:t>
            </w:r>
          </w:p>
        </w:tc>
        <w:tc>
          <w:tcPr>
            <w:tcW w:w="1701" w:type="dxa"/>
          </w:tcPr>
          <w:p w:rsidR="00E52566" w:rsidRDefault="00E52566">
            <w:r>
              <w:t xml:space="preserve">3 priority districts </w:t>
            </w:r>
          </w:p>
        </w:tc>
      </w:tr>
      <w:tr w:rsidR="00E52566" w:rsidTr="00E52566">
        <w:tc>
          <w:tcPr>
            <w:tcW w:w="1702" w:type="dxa"/>
            <w:vMerge/>
          </w:tcPr>
          <w:p w:rsidR="00E52566" w:rsidRDefault="00E52566"/>
        </w:tc>
        <w:tc>
          <w:tcPr>
            <w:tcW w:w="2404" w:type="dxa"/>
          </w:tcPr>
          <w:p w:rsidR="00E52566" w:rsidRDefault="00E52566" w:rsidP="00D0332F">
            <w:r>
              <w:t xml:space="preserve">Digital Enablement Programme with financial support  </w:t>
            </w:r>
          </w:p>
        </w:tc>
        <w:tc>
          <w:tcPr>
            <w:tcW w:w="4683" w:type="dxa"/>
          </w:tcPr>
          <w:p w:rsidR="00E52566" w:rsidRPr="00CB4A68" w:rsidRDefault="00E52566" w:rsidP="00A33F6B">
            <w:r>
              <w:t xml:space="preserve">Support for businesses to explore </w:t>
            </w:r>
            <w:r w:rsidRPr="00A33F6B">
              <w:t xml:space="preserve">existing technology solutions </w:t>
            </w:r>
            <w:r>
              <w:t>through the</w:t>
            </w:r>
            <w:r w:rsidRPr="00A33F6B">
              <w:t xml:space="preserve"> introduction of new systems and software, to assist with the implementa</w:t>
            </w:r>
            <w:r>
              <w:t xml:space="preserve">tion of new digital resources. Potential focus on automation. </w:t>
            </w:r>
          </w:p>
        </w:tc>
        <w:tc>
          <w:tcPr>
            <w:tcW w:w="4394" w:type="dxa"/>
          </w:tcPr>
          <w:p w:rsidR="00E52566" w:rsidRDefault="00E52566" w:rsidP="00E6051E">
            <w:r>
              <w:t xml:space="preserve">Micro/small businesses </w:t>
            </w:r>
          </w:p>
          <w:p w:rsidR="00E52566" w:rsidRDefault="00E52566" w:rsidP="00E6051E">
            <w:r w:rsidRPr="00A33F6B">
              <w:t>Improve busine</w:t>
            </w:r>
            <w:r>
              <w:t>ss performance &amp; productivity</w:t>
            </w:r>
          </w:p>
          <w:p w:rsidR="00E52566" w:rsidRDefault="00E52566" w:rsidP="00E6051E">
            <w:r>
              <w:t>Automation &amp; digitalisation – manufacturing &amp; engineering</w:t>
            </w:r>
          </w:p>
          <w:p w:rsidR="00E52566" w:rsidRDefault="00E52566" w:rsidP="00E6051E">
            <w:r>
              <w:t xml:space="preserve">Coverage in rural economy </w:t>
            </w:r>
          </w:p>
        </w:tc>
        <w:tc>
          <w:tcPr>
            <w:tcW w:w="1701" w:type="dxa"/>
          </w:tcPr>
          <w:p w:rsidR="00E52566" w:rsidRDefault="00E52566">
            <w:r>
              <w:t xml:space="preserve">3 priority districts </w:t>
            </w:r>
          </w:p>
        </w:tc>
      </w:tr>
      <w:tr w:rsidR="00E52566" w:rsidTr="00E52566">
        <w:tc>
          <w:tcPr>
            <w:tcW w:w="1702" w:type="dxa"/>
            <w:vMerge w:val="restart"/>
          </w:tcPr>
          <w:p w:rsidR="00E52566" w:rsidRPr="00CB4A68" w:rsidRDefault="00E52566">
            <w:pPr>
              <w:rPr>
                <w:b/>
              </w:rPr>
            </w:pPr>
            <w:r>
              <w:rPr>
                <w:b/>
              </w:rPr>
              <w:t xml:space="preserve">Skills and Employment </w:t>
            </w:r>
            <w:r w:rsidRPr="00CB4A68">
              <w:rPr>
                <w:b/>
              </w:rPr>
              <w:t xml:space="preserve"> </w:t>
            </w:r>
          </w:p>
        </w:tc>
        <w:tc>
          <w:tcPr>
            <w:tcW w:w="2404" w:type="dxa"/>
          </w:tcPr>
          <w:p w:rsidR="00E52566" w:rsidRDefault="00E52566" w:rsidP="00392B2B">
            <w:r>
              <w:t xml:space="preserve">Skills Survey </w:t>
            </w:r>
          </w:p>
        </w:tc>
        <w:tc>
          <w:tcPr>
            <w:tcW w:w="4683" w:type="dxa"/>
          </w:tcPr>
          <w:p w:rsidR="00E52566" w:rsidRDefault="00E52566" w:rsidP="00D0332F">
            <w:r>
              <w:t xml:space="preserve">Understand changing </w:t>
            </w:r>
            <w:r w:rsidRPr="00392B2B">
              <w:t>needs of businesses following the pandemic; future needs in relation to growth sectors</w:t>
            </w:r>
            <w:r>
              <w:t>. Support recently published D2N2 Skills Report and how we can implement at a ‘Place based level’</w:t>
            </w:r>
          </w:p>
        </w:tc>
        <w:tc>
          <w:tcPr>
            <w:tcW w:w="4394" w:type="dxa"/>
          </w:tcPr>
          <w:p w:rsidR="00E52566" w:rsidRDefault="00E52566" w:rsidP="00D0332F">
            <w:r>
              <w:t xml:space="preserve">Inform curriculum development/demand for skills /employer needs/future proofing/inform future programmes/commissioning </w:t>
            </w:r>
          </w:p>
        </w:tc>
        <w:tc>
          <w:tcPr>
            <w:tcW w:w="1701" w:type="dxa"/>
          </w:tcPr>
          <w:p w:rsidR="00E52566" w:rsidRDefault="00E52566">
            <w:r>
              <w:t>3 priority districts/</w:t>
            </w:r>
          </w:p>
          <w:p w:rsidR="00E52566" w:rsidRDefault="00E52566">
            <w:r>
              <w:t xml:space="preserve">countywide </w:t>
            </w:r>
          </w:p>
        </w:tc>
      </w:tr>
      <w:tr w:rsidR="00E52566" w:rsidTr="00E52566">
        <w:tc>
          <w:tcPr>
            <w:tcW w:w="1702" w:type="dxa"/>
            <w:vMerge/>
          </w:tcPr>
          <w:p w:rsidR="00E52566" w:rsidRDefault="00E52566"/>
        </w:tc>
        <w:tc>
          <w:tcPr>
            <w:tcW w:w="2404" w:type="dxa"/>
          </w:tcPr>
          <w:p w:rsidR="00E52566" w:rsidRDefault="00E52566">
            <w:r>
              <w:t xml:space="preserve">Support for those aged 18-24 years newly unemployed with self-employment </w:t>
            </w:r>
          </w:p>
          <w:p w:rsidR="00E52566" w:rsidRDefault="00E52566">
            <w:r>
              <w:t xml:space="preserve">With financial assistance </w:t>
            </w:r>
          </w:p>
        </w:tc>
        <w:tc>
          <w:tcPr>
            <w:tcW w:w="4683" w:type="dxa"/>
          </w:tcPr>
          <w:p w:rsidR="00E52566" w:rsidRDefault="00E52566">
            <w:r>
              <w:t xml:space="preserve">Youth markets; potential for pop-up shops/flexible and affordable start-up space; start-up grant with business support wrap around service and mentoring </w:t>
            </w:r>
          </w:p>
        </w:tc>
        <w:tc>
          <w:tcPr>
            <w:tcW w:w="4394" w:type="dxa"/>
          </w:tcPr>
          <w:p w:rsidR="00E52566" w:rsidRDefault="00E52566" w:rsidP="00B63AED">
            <w:r>
              <w:t xml:space="preserve">Unemployment hotspots </w:t>
            </w:r>
          </w:p>
        </w:tc>
        <w:tc>
          <w:tcPr>
            <w:tcW w:w="1701" w:type="dxa"/>
          </w:tcPr>
          <w:p w:rsidR="00E52566" w:rsidRDefault="00E52566">
            <w:r>
              <w:t xml:space="preserve">3 priority districts </w:t>
            </w:r>
          </w:p>
        </w:tc>
      </w:tr>
      <w:tr w:rsidR="00E52566" w:rsidTr="00E52566">
        <w:tc>
          <w:tcPr>
            <w:tcW w:w="1702" w:type="dxa"/>
            <w:vMerge/>
          </w:tcPr>
          <w:p w:rsidR="00E52566" w:rsidRDefault="00E52566"/>
        </w:tc>
        <w:tc>
          <w:tcPr>
            <w:tcW w:w="2404" w:type="dxa"/>
          </w:tcPr>
          <w:p w:rsidR="00E52566" w:rsidRDefault="00E52566">
            <w:r>
              <w:t xml:space="preserve">Support for those aged 18-24 years newly unemployed to gain direct employment </w:t>
            </w:r>
          </w:p>
        </w:tc>
        <w:tc>
          <w:tcPr>
            <w:tcW w:w="4683" w:type="dxa"/>
          </w:tcPr>
          <w:p w:rsidR="00E52566" w:rsidRDefault="00E52566" w:rsidP="00D0332F">
            <w:r>
              <w:t xml:space="preserve">Provide local coordination and enhance place based outputs of newly commissioned provision to provide an effective progression route for individuals  and employer engagement to help 18-24 year olds to secure employment; support </w:t>
            </w:r>
            <w:r>
              <w:lastRenderedPageBreak/>
              <w:t>roll out and enhance Youth Hubs to support this coordination</w:t>
            </w:r>
          </w:p>
        </w:tc>
        <w:tc>
          <w:tcPr>
            <w:tcW w:w="4394" w:type="dxa"/>
          </w:tcPr>
          <w:p w:rsidR="00E52566" w:rsidRDefault="00E52566">
            <w:r>
              <w:lastRenderedPageBreak/>
              <w:t xml:space="preserve">Unemployment hotspots </w:t>
            </w:r>
          </w:p>
          <w:p w:rsidR="00E52566" w:rsidRDefault="00E52566">
            <w:r>
              <w:t xml:space="preserve">Transport </w:t>
            </w:r>
          </w:p>
        </w:tc>
        <w:tc>
          <w:tcPr>
            <w:tcW w:w="1701" w:type="dxa"/>
          </w:tcPr>
          <w:p w:rsidR="00E52566" w:rsidRDefault="00E52566">
            <w:r>
              <w:t xml:space="preserve">3 priority districts </w:t>
            </w:r>
          </w:p>
        </w:tc>
      </w:tr>
      <w:tr w:rsidR="00E52566" w:rsidTr="00E52566">
        <w:tc>
          <w:tcPr>
            <w:tcW w:w="1702" w:type="dxa"/>
            <w:vMerge/>
          </w:tcPr>
          <w:p w:rsidR="00E52566" w:rsidRDefault="00E52566"/>
        </w:tc>
        <w:tc>
          <w:tcPr>
            <w:tcW w:w="2404" w:type="dxa"/>
          </w:tcPr>
          <w:p w:rsidR="00E52566" w:rsidRDefault="00E52566">
            <w:r>
              <w:t xml:space="preserve">Support for those aged 25+ newly unemployed </w:t>
            </w:r>
          </w:p>
          <w:p w:rsidR="00E52566" w:rsidRDefault="00E52566">
            <w:r>
              <w:t>With employer incentive/subsidy</w:t>
            </w:r>
          </w:p>
        </w:tc>
        <w:tc>
          <w:tcPr>
            <w:tcW w:w="4683" w:type="dxa"/>
          </w:tcPr>
          <w:p w:rsidR="00E52566" w:rsidRDefault="00E52566">
            <w:r>
              <w:t xml:space="preserve">Support to reskill in sectors where there is a labour demand e.g. logistics, HGV drivers; health and social care, production operatives. Employer incentives and subsidies to support these individuals into work </w:t>
            </w:r>
          </w:p>
        </w:tc>
        <w:tc>
          <w:tcPr>
            <w:tcW w:w="4394" w:type="dxa"/>
          </w:tcPr>
          <w:p w:rsidR="00E52566" w:rsidRDefault="00E52566">
            <w:r>
              <w:t xml:space="preserve">Unemployment hotspots </w:t>
            </w:r>
          </w:p>
          <w:p w:rsidR="00E52566" w:rsidRDefault="00E52566">
            <w:r>
              <w:t>25+ but with a particular focus on 50+</w:t>
            </w:r>
          </w:p>
          <w:p w:rsidR="00E52566" w:rsidRDefault="00E52566">
            <w:r>
              <w:t xml:space="preserve">Transport </w:t>
            </w:r>
          </w:p>
        </w:tc>
        <w:tc>
          <w:tcPr>
            <w:tcW w:w="1701" w:type="dxa"/>
          </w:tcPr>
          <w:p w:rsidR="00E52566" w:rsidRDefault="00E52566">
            <w:r>
              <w:t xml:space="preserve">3 priority districts </w:t>
            </w:r>
          </w:p>
        </w:tc>
      </w:tr>
      <w:tr w:rsidR="00E52566" w:rsidTr="00E52566">
        <w:tc>
          <w:tcPr>
            <w:tcW w:w="1702" w:type="dxa"/>
            <w:vMerge/>
          </w:tcPr>
          <w:p w:rsidR="00E52566" w:rsidRDefault="00E52566"/>
        </w:tc>
        <w:tc>
          <w:tcPr>
            <w:tcW w:w="2404" w:type="dxa"/>
          </w:tcPr>
          <w:p w:rsidR="00E52566" w:rsidRDefault="00E52566">
            <w:r>
              <w:t xml:space="preserve">Support for longer-term unemployed furthest away from the labour market with multiple barriers </w:t>
            </w:r>
          </w:p>
        </w:tc>
        <w:tc>
          <w:tcPr>
            <w:tcW w:w="4683" w:type="dxa"/>
          </w:tcPr>
          <w:p w:rsidR="00E52566" w:rsidRDefault="00E52566">
            <w:r>
              <w:t xml:space="preserve">Multi-agency approach to work with individuals to overcome barriers and to access available provision in what is a complex landscape </w:t>
            </w:r>
          </w:p>
          <w:p w:rsidR="00E52566" w:rsidRDefault="00E52566">
            <w:r>
              <w:t>Working with employers to look at employment practices to support individuals to get into work e.g. shift pattern, length of working day and homelessness</w:t>
            </w:r>
          </w:p>
        </w:tc>
        <w:tc>
          <w:tcPr>
            <w:tcW w:w="4394" w:type="dxa"/>
          </w:tcPr>
          <w:p w:rsidR="00E52566" w:rsidRDefault="00E52566">
            <w:r>
              <w:t>Unemployment hotspots</w:t>
            </w:r>
          </w:p>
          <w:p w:rsidR="00E52566" w:rsidRDefault="00E52566">
            <w:r>
              <w:t xml:space="preserve">Mental health, physical health, debt, transport, housing </w:t>
            </w:r>
          </w:p>
          <w:p w:rsidR="00E52566" w:rsidRDefault="00E52566" w:rsidP="00D6566F">
            <w:r>
              <w:t>Support for multi-generational unemployed, homeless, care leavers, carers, ex-offenders, for those with a health condition and</w:t>
            </w:r>
            <w:r w:rsidRPr="00D6566F">
              <w:t xml:space="preserve"> women returners </w:t>
            </w:r>
          </w:p>
        </w:tc>
        <w:tc>
          <w:tcPr>
            <w:tcW w:w="1701" w:type="dxa"/>
          </w:tcPr>
          <w:p w:rsidR="00E52566" w:rsidRDefault="00E52566">
            <w:r>
              <w:t xml:space="preserve">3 priority districts </w:t>
            </w:r>
          </w:p>
        </w:tc>
      </w:tr>
      <w:tr w:rsidR="00E52566" w:rsidTr="00E52566">
        <w:tc>
          <w:tcPr>
            <w:tcW w:w="1702" w:type="dxa"/>
            <w:vMerge/>
          </w:tcPr>
          <w:p w:rsidR="00E52566" w:rsidRDefault="00E52566"/>
        </w:tc>
        <w:tc>
          <w:tcPr>
            <w:tcW w:w="2404" w:type="dxa"/>
          </w:tcPr>
          <w:p w:rsidR="00E52566" w:rsidRDefault="00E52566" w:rsidP="005870DE">
            <w:r>
              <w:t>Delivery of skills and jobs programmes and mentoring</w:t>
            </w:r>
          </w:p>
        </w:tc>
        <w:tc>
          <w:tcPr>
            <w:tcW w:w="4683" w:type="dxa"/>
          </w:tcPr>
          <w:p w:rsidR="00E52566" w:rsidRDefault="00E52566" w:rsidP="008534EB">
            <w:r>
              <w:t>“Skills Escalator” Programme aimed at supporting residents, “Local Ambitions” mentoring (16-23), graduate work experience, homeless jobs scheme and leadership procurement</w:t>
            </w:r>
          </w:p>
        </w:tc>
        <w:tc>
          <w:tcPr>
            <w:tcW w:w="4394" w:type="dxa"/>
          </w:tcPr>
          <w:p w:rsidR="00E52566" w:rsidRDefault="00E52566">
            <w:r>
              <w:t xml:space="preserve">Training to support families to improved prospects, 11+ students in schools and priority neighbourhoods, graduate retention. </w:t>
            </w:r>
            <w:r w:rsidRPr="005870DE">
              <w:t>Provide leadership to public and private employers to use procurement to incentivise creation of local jobs and training opportunities</w:t>
            </w:r>
          </w:p>
        </w:tc>
        <w:tc>
          <w:tcPr>
            <w:tcW w:w="1701" w:type="dxa"/>
          </w:tcPr>
          <w:p w:rsidR="00E52566" w:rsidRDefault="00E52566">
            <w:r>
              <w:t>3 priority districts</w:t>
            </w:r>
          </w:p>
        </w:tc>
      </w:tr>
      <w:tr w:rsidR="00E52566" w:rsidTr="00E52566">
        <w:tc>
          <w:tcPr>
            <w:tcW w:w="1702" w:type="dxa"/>
            <w:vMerge/>
          </w:tcPr>
          <w:p w:rsidR="00E52566" w:rsidRDefault="00E52566">
            <w:pPr>
              <w:rPr>
                <w:b/>
              </w:rPr>
            </w:pPr>
          </w:p>
        </w:tc>
        <w:tc>
          <w:tcPr>
            <w:tcW w:w="2404" w:type="dxa"/>
          </w:tcPr>
          <w:p w:rsidR="00E52566" w:rsidRDefault="00E52566" w:rsidP="0098231C">
            <w:r>
              <w:t>Careers Events</w:t>
            </w:r>
          </w:p>
        </w:tc>
        <w:tc>
          <w:tcPr>
            <w:tcW w:w="4683" w:type="dxa"/>
          </w:tcPr>
          <w:p w:rsidR="00E52566" w:rsidRDefault="00E52566">
            <w:r w:rsidRPr="005870DE">
              <w:t>Careers Event to be held to promote the Future World of Work, targeting year 11 and 13 within schools, SEND and unemployed, graduates and those disproportionately excluded by the labour market.</w:t>
            </w:r>
          </w:p>
        </w:tc>
        <w:tc>
          <w:tcPr>
            <w:tcW w:w="4394" w:type="dxa"/>
          </w:tcPr>
          <w:p w:rsidR="00E52566" w:rsidRDefault="00E52566">
            <w:r w:rsidRPr="005870DE">
              <w:t>Specific focus on growth industries in the 3 districts including automation/robotics/digital/health and social care, ensuring the supply to market is available locally for jobs in these sectors particularly where high skills levels are required.</w:t>
            </w:r>
          </w:p>
        </w:tc>
        <w:tc>
          <w:tcPr>
            <w:tcW w:w="1701" w:type="dxa"/>
          </w:tcPr>
          <w:p w:rsidR="00E52566" w:rsidRDefault="00E52566">
            <w:r>
              <w:t>3 priority districts</w:t>
            </w:r>
          </w:p>
        </w:tc>
      </w:tr>
      <w:tr w:rsidR="00E52566" w:rsidTr="00E52566">
        <w:tc>
          <w:tcPr>
            <w:tcW w:w="1702" w:type="dxa"/>
            <w:vMerge w:val="restart"/>
          </w:tcPr>
          <w:p w:rsidR="00E52566" w:rsidRPr="00CB4A68" w:rsidRDefault="00E52566">
            <w:pPr>
              <w:rPr>
                <w:b/>
              </w:rPr>
            </w:pPr>
            <w:r>
              <w:rPr>
                <w:b/>
              </w:rPr>
              <w:t xml:space="preserve">Low Carbon </w:t>
            </w:r>
          </w:p>
        </w:tc>
        <w:tc>
          <w:tcPr>
            <w:tcW w:w="2404" w:type="dxa"/>
          </w:tcPr>
          <w:p w:rsidR="00E52566" w:rsidRDefault="00E52566" w:rsidP="0098231C">
            <w:r>
              <w:t xml:space="preserve">Green Technologies Programme with financial assistance </w:t>
            </w:r>
          </w:p>
        </w:tc>
        <w:tc>
          <w:tcPr>
            <w:tcW w:w="4683" w:type="dxa"/>
          </w:tcPr>
          <w:p w:rsidR="00E52566" w:rsidRDefault="00E52566">
            <w:r>
              <w:t xml:space="preserve">For businesses to access expertise for specialist diagnostic, transformation planning, implementation and procurement support and funding to improve their green credentials; educational piece with a particularly focus on micro/small businesses to understand the benefits of investment; the positives for business efficiencies; opportunities for knowledge transfer; support with procurement and implementation </w:t>
            </w:r>
          </w:p>
          <w:p w:rsidR="00E52566" w:rsidRDefault="00E52566">
            <w:r>
              <w:t xml:space="preserve"> </w:t>
            </w:r>
          </w:p>
        </w:tc>
        <w:tc>
          <w:tcPr>
            <w:tcW w:w="4394" w:type="dxa"/>
          </w:tcPr>
          <w:p w:rsidR="00E52566" w:rsidRDefault="00E52566">
            <w:r>
              <w:t>Support for SMEs but with a particular focus on micro/small businesses that do not have internal expertise/capacity to pursue</w:t>
            </w:r>
          </w:p>
          <w:p w:rsidR="00E52566" w:rsidRDefault="00E52566">
            <w:r>
              <w:t xml:space="preserve">Develop case studies to promote wider update and support future programme opportunities  </w:t>
            </w:r>
          </w:p>
        </w:tc>
        <w:tc>
          <w:tcPr>
            <w:tcW w:w="1701" w:type="dxa"/>
          </w:tcPr>
          <w:p w:rsidR="00E52566" w:rsidRDefault="00E52566">
            <w:r>
              <w:t xml:space="preserve">3 priority districts </w:t>
            </w:r>
          </w:p>
        </w:tc>
      </w:tr>
      <w:tr w:rsidR="00E52566" w:rsidTr="00E52566">
        <w:trPr>
          <w:trHeight w:val="2927"/>
        </w:trPr>
        <w:tc>
          <w:tcPr>
            <w:tcW w:w="1702" w:type="dxa"/>
            <w:vMerge/>
          </w:tcPr>
          <w:p w:rsidR="00E52566" w:rsidRDefault="00E52566" w:rsidP="00932F8C">
            <w:pPr>
              <w:rPr>
                <w:b/>
              </w:rPr>
            </w:pPr>
          </w:p>
        </w:tc>
        <w:tc>
          <w:tcPr>
            <w:tcW w:w="2404" w:type="dxa"/>
          </w:tcPr>
          <w:p w:rsidR="00E52566" w:rsidRDefault="00E52566">
            <w:r>
              <w:t xml:space="preserve">Environmental Strategy </w:t>
            </w:r>
          </w:p>
        </w:tc>
        <w:tc>
          <w:tcPr>
            <w:tcW w:w="4683" w:type="dxa"/>
          </w:tcPr>
          <w:p w:rsidR="00E52566" w:rsidRDefault="00E52566" w:rsidP="007F6167">
            <w:r>
              <w:t>Development of Environmental Strategy to outline support and delivery mechanisms to enable the private sector to move towards carbon zero target; understanding of what support and infrastructure is required to enable this.</w:t>
            </w:r>
          </w:p>
        </w:tc>
        <w:tc>
          <w:tcPr>
            <w:tcW w:w="4394" w:type="dxa"/>
          </w:tcPr>
          <w:p w:rsidR="00E52566" w:rsidRDefault="00E52566">
            <w:r>
              <w:t xml:space="preserve">Compliment the work on the Nottinghamshire Environmental Strategy focusing on the private sector </w:t>
            </w:r>
          </w:p>
        </w:tc>
        <w:tc>
          <w:tcPr>
            <w:tcW w:w="1701" w:type="dxa"/>
          </w:tcPr>
          <w:p w:rsidR="00E52566" w:rsidRDefault="00E52566">
            <w:r>
              <w:t xml:space="preserve">3 priority districts/County </w:t>
            </w:r>
          </w:p>
        </w:tc>
      </w:tr>
      <w:tr w:rsidR="00E52566" w:rsidTr="00E52566">
        <w:trPr>
          <w:trHeight w:val="1948"/>
        </w:trPr>
        <w:tc>
          <w:tcPr>
            <w:tcW w:w="1702" w:type="dxa"/>
          </w:tcPr>
          <w:p w:rsidR="00E52566" w:rsidRDefault="00E52566" w:rsidP="00932F8C">
            <w:pPr>
              <w:rPr>
                <w:b/>
              </w:rPr>
            </w:pPr>
            <w:r>
              <w:rPr>
                <w:b/>
              </w:rPr>
              <w:t xml:space="preserve">Visitor Economy – Market Towns, Culture, Rural </w:t>
            </w:r>
          </w:p>
          <w:p w:rsidR="00E52566" w:rsidRDefault="00E52566" w:rsidP="00932F8C">
            <w:pPr>
              <w:rPr>
                <w:b/>
              </w:rPr>
            </w:pPr>
          </w:p>
        </w:tc>
        <w:tc>
          <w:tcPr>
            <w:tcW w:w="2404" w:type="dxa"/>
          </w:tcPr>
          <w:p w:rsidR="00E52566" w:rsidRDefault="00E52566">
            <w:r>
              <w:t xml:space="preserve">Development of Cultural &amp; visitor economy Strategy </w:t>
            </w:r>
          </w:p>
        </w:tc>
        <w:tc>
          <w:tcPr>
            <w:tcW w:w="4683" w:type="dxa"/>
          </w:tcPr>
          <w:p w:rsidR="00E52566" w:rsidRDefault="00E52566">
            <w:r w:rsidRPr="007E649A">
              <w:t>Strategy and agreed action plan for Cultural &amp; Arts Programme</w:t>
            </w:r>
            <w:r>
              <w:t xml:space="preserve"> and visitor economy</w:t>
            </w:r>
            <w:r w:rsidRPr="007E649A">
              <w:t xml:space="preserve"> for 10+ years</w:t>
            </w:r>
          </w:p>
        </w:tc>
        <w:tc>
          <w:tcPr>
            <w:tcW w:w="4394" w:type="dxa"/>
          </w:tcPr>
          <w:p w:rsidR="00E52566" w:rsidRDefault="00E52566" w:rsidP="00575C2D">
            <w:r>
              <w:t>District wide – urban and rural areas.</w:t>
            </w:r>
          </w:p>
        </w:tc>
        <w:tc>
          <w:tcPr>
            <w:tcW w:w="1701" w:type="dxa"/>
          </w:tcPr>
          <w:p w:rsidR="00E52566" w:rsidRDefault="00E52566">
            <w:r>
              <w:t xml:space="preserve">3 priority districts/county </w:t>
            </w:r>
          </w:p>
        </w:tc>
      </w:tr>
      <w:tr w:rsidR="00E52566" w:rsidTr="00E52566">
        <w:tc>
          <w:tcPr>
            <w:tcW w:w="1702" w:type="dxa"/>
          </w:tcPr>
          <w:p w:rsidR="00E52566" w:rsidRDefault="00E52566">
            <w:pPr>
              <w:rPr>
                <w:b/>
              </w:rPr>
            </w:pPr>
          </w:p>
        </w:tc>
        <w:tc>
          <w:tcPr>
            <w:tcW w:w="2404" w:type="dxa"/>
          </w:tcPr>
          <w:p w:rsidR="00E52566" w:rsidRDefault="00E52566" w:rsidP="007E649A">
            <w:r w:rsidRPr="007E649A">
              <w:t>Market T</w:t>
            </w:r>
            <w:r>
              <w:t xml:space="preserve">owns Arts &amp; Cultural Programme </w:t>
            </w:r>
          </w:p>
        </w:tc>
        <w:tc>
          <w:tcPr>
            <w:tcW w:w="4683" w:type="dxa"/>
          </w:tcPr>
          <w:p w:rsidR="00E52566" w:rsidRPr="00E6051E" w:rsidRDefault="00E52566" w:rsidP="00EA2346">
            <w:r>
              <w:t xml:space="preserve">Project that enables </w:t>
            </w:r>
            <w:r w:rsidRPr="007E649A">
              <w:t>Market Town</w:t>
            </w:r>
            <w:r>
              <w:t>s</w:t>
            </w:r>
            <w:r w:rsidRPr="007E649A">
              <w:t xml:space="preserve"> to create new USP</w:t>
            </w:r>
            <w:r>
              <w:t>s for Art and</w:t>
            </w:r>
            <w:r w:rsidRPr="007E649A">
              <w:t xml:space="preserve"> </w:t>
            </w:r>
            <w:r>
              <w:t xml:space="preserve">Cultural activities with </w:t>
            </w:r>
            <w:r w:rsidRPr="007E649A">
              <w:t>local partners</w:t>
            </w:r>
            <w:r>
              <w:t xml:space="preserve"> including identifying, developing marketing assets and raising awareness of local attractions, places to visit and of natural beauty</w:t>
            </w:r>
          </w:p>
        </w:tc>
        <w:tc>
          <w:tcPr>
            <w:tcW w:w="4394" w:type="dxa"/>
          </w:tcPr>
          <w:p w:rsidR="00E52566" w:rsidRDefault="00E52566" w:rsidP="00B964AA">
            <w:r>
              <w:t>Worksop, Retford, Harworth and Tuxford, Mansfield, Warsop &amp; Newark, Ollerton, Southwell</w:t>
            </w:r>
          </w:p>
        </w:tc>
        <w:tc>
          <w:tcPr>
            <w:tcW w:w="1701" w:type="dxa"/>
          </w:tcPr>
          <w:p w:rsidR="00E52566" w:rsidRDefault="00E52566">
            <w:r>
              <w:t xml:space="preserve">3 priority districts/county </w:t>
            </w:r>
          </w:p>
        </w:tc>
      </w:tr>
      <w:tr w:rsidR="00E52566" w:rsidTr="00E52566">
        <w:tc>
          <w:tcPr>
            <w:tcW w:w="1702" w:type="dxa"/>
          </w:tcPr>
          <w:p w:rsidR="00E52566" w:rsidRDefault="00E52566">
            <w:pPr>
              <w:rPr>
                <w:b/>
              </w:rPr>
            </w:pPr>
          </w:p>
        </w:tc>
        <w:tc>
          <w:tcPr>
            <w:tcW w:w="2404" w:type="dxa"/>
          </w:tcPr>
          <w:p w:rsidR="00E52566" w:rsidRDefault="00E52566">
            <w:r>
              <w:t xml:space="preserve">Visitor Economy </w:t>
            </w:r>
          </w:p>
        </w:tc>
        <w:tc>
          <w:tcPr>
            <w:tcW w:w="4683" w:type="dxa"/>
          </w:tcPr>
          <w:p w:rsidR="00E52566" w:rsidRDefault="00E52566" w:rsidP="0014624F">
            <w:r w:rsidRPr="007E649A">
              <w:t>Pilot development of a coordinated approach to market visitor economy/tourism assets to encourage repeat visits/ longer overnight stays by developing itineraries to showcase attractions/places to stay/eat. Consider dedicated business support (Covid-19 recovery focus) and sector specific research (e.g. focus on clean growth and green tourism) to provide insight for businesses to develop their growth plans</w:t>
            </w:r>
          </w:p>
          <w:p w:rsidR="00E52566" w:rsidRPr="00E6051E" w:rsidRDefault="00E52566" w:rsidP="0014624F"/>
        </w:tc>
        <w:tc>
          <w:tcPr>
            <w:tcW w:w="4394" w:type="dxa"/>
          </w:tcPr>
          <w:p w:rsidR="00E52566" w:rsidRDefault="00E52566">
            <w:r>
              <w:t xml:space="preserve">District wide both urban and rural focus </w:t>
            </w:r>
          </w:p>
        </w:tc>
        <w:tc>
          <w:tcPr>
            <w:tcW w:w="1701" w:type="dxa"/>
          </w:tcPr>
          <w:p w:rsidR="00E52566" w:rsidRDefault="00E52566">
            <w:r>
              <w:t xml:space="preserve">3 priority districts/county </w:t>
            </w:r>
          </w:p>
        </w:tc>
      </w:tr>
      <w:tr w:rsidR="00E52566" w:rsidTr="00E52566">
        <w:tc>
          <w:tcPr>
            <w:tcW w:w="1702" w:type="dxa"/>
          </w:tcPr>
          <w:p w:rsidR="00E52566" w:rsidRDefault="00E52566" w:rsidP="003D1366">
            <w:pPr>
              <w:rPr>
                <w:b/>
              </w:rPr>
            </w:pPr>
          </w:p>
        </w:tc>
        <w:tc>
          <w:tcPr>
            <w:tcW w:w="2404" w:type="dxa"/>
          </w:tcPr>
          <w:p w:rsidR="00E52566" w:rsidRDefault="00E52566" w:rsidP="003D1366">
            <w:r>
              <w:t>Development and delivery of programmes &amp; events</w:t>
            </w:r>
          </w:p>
        </w:tc>
        <w:tc>
          <w:tcPr>
            <w:tcW w:w="4683" w:type="dxa"/>
          </w:tcPr>
          <w:p w:rsidR="00E52566" w:rsidRPr="00A769FA" w:rsidRDefault="00E52566" w:rsidP="00031311">
            <w:pPr>
              <w:rPr>
                <w:b/>
              </w:rPr>
            </w:pPr>
            <w:r w:rsidRPr="00A769FA">
              <w:rPr>
                <w:b/>
              </w:rPr>
              <w:t xml:space="preserve">“Out of buildings and into Lives”: </w:t>
            </w:r>
          </w:p>
          <w:p w:rsidR="00E52566" w:rsidRDefault="00E52566" w:rsidP="00031311">
            <w:r>
              <w:t>To i</w:t>
            </w:r>
            <w:r w:rsidRPr="00F639D7">
              <w:t>nspire local change through a series of unforgettable FREE outdoor arts of significant scale and ambition coupled with targeted community engagement activities</w:t>
            </w:r>
          </w:p>
          <w:p w:rsidR="00E52566" w:rsidRDefault="00E52566" w:rsidP="00031311"/>
          <w:p w:rsidR="00E52566" w:rsidRPr="00E6051E" w:rsidRDefault="00E52566" w:rsidP="00031311"/>
        </w:tc>
        <w:tc>
          <w:tcPr>
            <w:tcW w:w="4394" w:type="dxa"/>
          </w:tcPr>
          <w:p w:rsidR="00E52566" w:rsidRDefault="00E52566" w:rsidP="003D1366">
            <w:r w:rsidRPr="00031311">
              <w:t>Needs for social wellbeing and cohesion. Physical and mental health post pandemic. Needs within our local education system (skills/resource), our regional and national status of the district and the local economies</w:t>
            </w:r>
          </w:p>
        </w:tc>
        <w:tc>
          <w:tcPr>
            <w:tcW w:w="1701" w:type="dxa"/>
          </w:tcPr>
          <w:p w:rsidR="00E52566" w:rsidRDefault="00E52566" w:rsidP="003D1366">
            <w:r>
              <w:t xml:space="preserve">3 priority districts/county </w:t>
            </w:r>
          </w:p>
        </w:tc>
      </w:tr>
      <w:tr w:rsidR="00E52566" w:rsidTr="00E52566">
        <w:tc>
          <w:tcPr>
            <w:tcW w:w="1702" w:type="dxa"/>
          </w:tcPr>
          <w:p w:rsidR="00E52566" w:rsidRDefault="00E52566" w:rsidP="003D1366">
            <w:pPr>
              <w:rPr>
                <w:b/>
              </w:rPr>
            </w:pPr>
          </w:p>
        </w:tc>
        <w:tc>
          <w:tcPr>
            <w:tcW w:w="2404" w:type="dxa"/>
          </w:tcPr>
          <w:p w:rsidR="00E52566" w:rsidRDefault="00E52566" w:rsidP="003D1366"/>
        </w:tc>
        <w:tc>
          <w:tcPr>
            <w:tcW w:w="4683" w:type="dxa"/>
          </w:tcPr>
          <w:p w:rsidR="00E52566" w:rsidRDefault="00E52566" w:rsidP="00031311">
            <w:r w:rsidRPr="00A769FA">
              <w:rPr>
                <w:b/>
              </w:rPr>
              <w:t>“Bright Idea Commission”</w:t>
            </w:r>
            <w:r>
              <w:t xml:space="preserve"> - </w:t>
            </w:r>
            <w:r w:rsidRPr="00031311">
              <w:t xml:space="preserve"> </w:t>
            </w:r>
          </w:p>
          <w:p w:rsidR="00E52566" w:rsidRDefault="00E52566" w:rsidP="00031311">
            <w:r w:rsidRPr="00F639D7">
              <w:t>public art, installations or performance projects that combine engineering, advanced manufacturing and the arts to engage the public in STEM</w:t>
            </w:r>
          </w:p>
          <w:p w:rsidR="00E52566" w:rsidRPr="00E6051E" w:rsidRDefault="00E52566" w:rsidP="003D1366"/>
        </w:tc>
        <w:tc>
          <w:tcPr>
            <w:tcW w:w="4394" w:type="dxa"/>
          </w:tcPr>
          <w:p w:rsidR="00E52566" w:rsidRDefault="00E52566" w:rsidP="00F639D7">
            <w:r w:rsidRPr="00031311">
              <w:t xml:space="preserve">To grow the skills, knowledge and networks of our local creative sector, </w:t>
            </w:r>
            <w:r>
              <w:t>to</w:t>
            </w:r>
            <w:r w:rsidRPr="00031311">
              <w:t xml:space="preserve"> build new partnerships and help establish the conditions in which creativity and culture can flourish across the district.</w:t>
            </w:r>
          </w:p>
        </w:tc>
        <w:tc>
          <w:tcPr>
            <w:tcW w:w="1701" w:type="dxa"/>
          </w:tcPr>
          <w:p w:rsidR="00E52566" w:rsidRDefault="00E52566" w:rsidP="003D1366">
            <w:r>
              <w:t xml:space="preserve">3 priority districts/county </w:t>
            </w:r>
          </w:p>
        </w:tc>
      </w:tr>
      <w:tr w:rsidR="00E52566" w:rsidTr="00E52566">
        <w:tc>
          <w:tcPr>
            <w:tcW w:w="1702" w:type="dxa"/>
          </w:tcPr>
          <w:p w:rsidR="00E52566" w:rsidRDefault="00E52566" w:rsidP="003D1366">
            <w:pPr>
              <w:rPr>
                <w:b/>
              </w:rPr>
            </w:pPr>
          </w:p>
        </w:tc>
        <w:tc>
          <w:tcPr>
            <w:tcW w:w="2404" w:type="dxa"/>
          </w:tcPr>
          <w:p w:rsidR="00E52566" w:rsidRDefault="00E52566" w:rsidP="003D1366"/>
        </w:tc>
        <w:tc>
          <w:tcPr>
            <w:tcW w:w="4683" w:type="dxa"/>
          </w:tcPr>
          <w:p w:rsidR="00E52566" w:rsidRDefault="00E52566" w:rsidP="00F639D7">
            <w:r w:rsidRPr="00A769FA">
              <w:rPr>
                <w:b/>
              </w:rPr>
              <w:t>The Cultural Academy</w:t>
            </w:r>
            <w:r w:rsidRPr="00031311">
              <w:t xml:space="preserve">: </w:t>
            </w:r>
          </w:p>
          <w:p w:rsidR="00E52566" w:rsidRPr="00E6051E" w:rsidRDefault="00E52566" w:rsidP="00F639D7">
            <w:r w:rsidRPr="00031311">
              <w:t>A series of</w:t>
            </w:r>
            <w:r>
              <w:t xml:space="preserve"> project for </w:t>
            </w:r>
            <w:r w:rsidRPr="00F639D7">
              <w:t>children and young people, schools, teachers and cultural enablers to access high-quality arts and cultural experiences across Nottinghamshire</w:t>
            </w:r>
            <w:r w:rsidRPr="00031311">
              <w:t xml:space="preserve"> </w:t>
            </w:r>
          </w:p>
        </w:tc>
        <w:tc>
          <w:tcPr>
            <w:tcW w:w="4394" w:type="dxa"/>
          </w:tcPr>
          <w:p w:rsidR="00E52566" w:rsidRDefault="00E52566" w:rsidP="003D1366">
            <w:r w:rsidRPr="00031311">
              <w:t>Employers from all industries value creative skills and critical thinking in their workforces. This programme will ensure that those skills are developed more effectively in young people</w:t>
            </w:r>
          </w:p>
        </w:tc>
        <w:tc>
          <w:tcPr>
            <w:tcW w:w="1701" w:type="dxa"/>
          </w:tcPr>
          <w:p w:rsidR="00E52566" w:rsidRDefault="00E52566" w:rsidP="003D1366">
            <w:r>
              <w:t xml:space="preserve">3 priority districts/county </w:t>
            </w:r>
          </w:p>
        </w:tc>
      </w:tr>
      <w:tr w:rsidR="00E52566" w:rsidTr="00E52566">
        <w:tc>
          <w:tcPr>
            <w:tcW w:w="1702" w:type="dxa"/>
          </w:tcPr>
          <w:p w:rsidR="00E52566" w:rsidRDefault="00E52566" w:rsidP="003D1366">
            <w:pPr>
              <w:rPr>
                <w:b/>
              </w:rPr>
            </w:pPr>
          </w:p>
        </w:tc>
        <w:tc>
          <w:tcPr>
            <w:tcW w:w="2404" w:type="dxa"/>
          </w:tcPr>
          <w:p w:rsidR="00E52566" w:rsidRDefault="00E52566" w:rsidP="003D1366"/>
        </w:tc>
        <w:tc>
          <w:tcPr>
            <w:tcW w:w="4683" w:type="dxa"/>
          </w:tcPr>
          <w:p w:rsidR="00E52566" w:rsidRPr="00A769FA" w:rsidRDefault="00E52566" w:rsidP="00F639D7">
            <w:pPr>
              <w:rPr>
                <w:b/>
              </w:rPr>
            </w:pPr>
            <w:r w:rsidRPr="00A769FA">
              <w:rPr>
                <w:b/>
              </w:rPr>
              <w:t xml:space="preserve">Business EXPO/Festival </w:t>
            </w:r>
          </w:p>
          <w:p w:rsidR="00E52566" w:rsidRPr="00E6051E" w:rsidRDefault="00E52566" w:rsidP="00F639D7">
            <w:r w:rsidRPr="002D7517">
              <w:t>Showcase of hundreds of local exhibitors. Will include Keynote sessions and workshops.</w:t>
            </w:r>
          </w:p>
        </w:tc>
        <w:tc>
          <w:tcPr>
            <w:tcW w:w="4394" w:type="dxa"/>
          </w:tcPr>
          <w:p w:rsidR="00E52566" w:rsidRDefault="00E52566" w:rsidP="00F639D7">
            <w:r w:rsidRPr="00F639D7">
              <w:t>A festival which will take over Town Centre spaces (Museum, Theatre, Town hall, bars and pubs). A mix of formal and informal networking opportunities</w:t>
            </w:r>
          </w:p>
        </w:tc>
        <w:tc>
          <w:tcPr>
            <w:tcW w:w="1701" w:type="dxa"/>
          </w:tcPr>
          <w:p w:rsidR="00E52566" w:rsidRDefault="00E52566" w:rsidP="003D1366">
            <w:r>
              <w:t xml:space="preserve">3 priority districts/county </w:t>
            </w:r>
          </w:p>
        </w:tc>
      </w:tr>
      <w:tr w:rsidR="00E52566" w:rsidTr="00E52566">
        <w:trPr>
          <w:trHeight w:val="1810"/>
        </w:trPr>
        <w:tc>
          <w:tcPr>
            <w:tcW w:w="1702" w:type="dxa"/>
          </w:tcPr>
          <w:p w:rsidR="00E52566" w:rsidRDefault="00E52566" w:rsidP="00031311">
            <w:pPr>
              <w:rPr>
                <w:b/>
              </w:rPr>
            </w:pPr>
          </w:p>
        </w:tc>
        <w:tc>
          <w:tcPr>
            <w:tcW w:w="2404" w:type="dxa"/>
          </w:tcPr>
          <w:p w:rsidR="00E52566" w:rsidRDefault="00E52566" w:rsidP="00031311"/>
        </w:tc>
        <w:tc>
          <w:tcPr>
            <w:tcW w:w="4683" w:type="dxa"/>
          </w:tcPr>
          <w:p w:rsidR="00E52566" w:rsidRPr="00E6051E" w:rsidRDefault="00E52566" w:rsidP="00F639D7">
            <w:r w:rsidRPr="00A769FA">
              <w:rPr>
                <w:b/>
              </w:rPr>
              <w:t>“Rural and Community Touring</w:t>
            </w:r>
            <w:r>
              <w:t>”</w:t>
            </w:r>
            <w:r w:rsidRPr="00031311">
              <w:t>: supports an ecosystem of high-quality creative experiences across communities a</w:t>
            </w:r>
            <w:r>
              <w:t xml:space="preserve">nd rural areas in the districts </w:t>
            </w:r>
          </w:p>
        </w:tc>
        <w:tc>
          <w:tcPr>
            <w:tcW w:w="4394" w:type="dxa"/>
          </w:tcPr>
          <w:p w:rsidR="00E52566" w:rsidRDefault="00E52566" w:rsidP="00031311">
            <w:r w:rsidRPr="002D7517">
              <w:t xml:space="preserve">People should have access to a full range of cultural opportunities wherever they live – but these opportunities are currently uneven across the districts, particularly for those living in towns or rural areas, </w:t>
            </w:r>
            <w:r>
              <w:t xml:space="preserve">where public transport is often </w:t>
            </w:r>
            <w:r w:rsidRPr="002D7517">
              <w:t>either unavailable or expensive.</w:t>
            </w:r>
          </w:p>
        </w:tc>
        <w:tc>
          <w:tcPr>
            <w:tcW w:w="1701" w:type="dxa"/>
          </w:tcPr>
          <w:p w:rsidR="00E52566" w:rsidRDefault="00E52566" w:rsidP="00031311">
            <w:r>
              <w:t xml:space="preserve">3 priority districts/county </w:t>
            </w:r>
          </w:p>
        </w:tc>
      </w:tr>
      <w:tr w:rsidR="00E52566" w:rsidTr="00E52566">
        <w:tc>
          <w:tcPr>
            <w:tcW w:w="1702" w:type="dxa"/>
          </w:tcPr>
          <w:p w:rsidR="00E52566" w:rsidRDefault="00E52566" w:rsidP="00031311">
            <w:pPr>
              <w:rPr>
                <w:b/>
              </w:rPr>
            </w:pPr>
          </w:p>
        </w:tc>
        <w:tc>
          <w:tcPr>
            <w:tcW w:w="2404" w:type="dxa"/>
          </w:tcPr>
          <w:p w:rsidR="00E52566" w:rsidRDefault="00E52566" w:rsidP="00031311"/>
        </w:tc>
        <w:tc>
          <w:tcPr>
            <w:tcW w:w="4683" w:type="dxa"/>
          </w:tcPr>
          <w:p w:rsidR="00E52566" w:rsidRPr="00E6051E" w:rsidRDefault="00E52566" w:rsidP="00F639D7">
            <w:r w:rsidRPr="00A769FA">
              <w:rPr>
                <w:b/>
              </w:rPr>
              <w:t>“A Great Place to Grow Old”:</w:t>
            </w:r>
            <w:r w:rsidRPr="002D7517">
              <w:t xml:space="preserve"> A series of age friendly projects that support the creative and cultural life of over 55s in the districts. </w:t>
            </w:r>
          </w:p>
        </w:tc>
        <w:tc>
          <w:tcPr>
            <w:tcW w:w="4394" w:type="dxa"/>
          </w:tcPr>
          <w:p w:rsidR="00E52566" w:rsidRDefault="00E52566" w:rsidP="00031311">
            <w:r w:rsidRPr="00F639D7">
              <w:t>This project sees culture play a vital role in supporting people to maintain good health, independence and improve quality of life</w:t>
            </w:r>
          </w:p>
        </w:tc>
        <w:tc>
          <w:tcPr>
            <w:tcW w:w="1701" w:type="dxa"/>
          </w:tcPr>
          <w:p w:rsidR="00E52566" w:rsidRDefault="00E52566" w:rsidP="00031311">
            <w:r>
              <w:t>3 priority districts/county</w:t>
            </w:r>
          </w:p>
        </w:tc>
      </w:tr>
      <w:tr w:rsidR="00E52566" w:rsidTr="00E52566">
        <w:tc>
          <w:tcPr>
            <w:tcW w:w="1702" w:type="dxa"/>
          </w:tcPr>
          <w:p w:rsidR="00E52566" w:rsidRDefault="00E52566" w:rsidP="002D7517">
            <w:pPr>
              <w:rPr>
                <w:b/>
              </w:rPr>
            </w:pPr>
          </w:p>
        </w:tc>
        <w:tc>
          <w:tcPr>
            <w:tcW w:w="2404" w:type="dxa"/>
          </w:tcPr>
          <w:p w:rsidR="00E52566" w:rsidRDefault="00E52566" w:rsidP="002D7517"/>
        </w:tc>
        <w:tc>
          <w:tcPr>
            <w:tcW w:w="4683" w:type="dxa"/>
          </w:tcPr>
          <w:p w:rsidR="00E52566" w:rsidRPr="00E6051E" w:rsidRDefault="00E52566" w:rsidP="009D55A5">
            <w:r w:rsidRPr="00A769FA">
              <w:rPr>
                <w:b/>
              </w:rPr>
              <w:t>Microgrants for moments of Inclusion:</w:t>
            </w:r>
            <w:r w:rsidRPr="00064161">
              <w:t xml:space="preserve"> </w:t>
            </w:r>
            <w:r>
              <w:t>G</w:t>
            </w:r>
            <w:r w:rsidRPr="00064161">
              <w:t xml:space="preserve">rants to community organisations to deliver cohesion celebrations. </w:t>
            </w:r>
            <w:r>
              <w:t>E.g.</w:t>
            </w:r>
            <w:r w:rsidRPr="00064161">
              <w:t xml:space="preserve"> religious celebrations that involve the wider community (such as Eid festivals or Diwali). LGBTQ+ celebrations across the district (a number of micro-prides)</w:t>
            </w:r>
          </w:p>
        </w:tc>
        <w:tc>
          <w:tcPr>
            <w:tcW w:w="4394" w:type="dxa"/>
          </w:tcPr>
          <w:p w:rsidR="00E52566" w:rsidRDefault="00E52566" w:rsidP="002D7517">
            <w:r>
              <w:t>Tackling p</w:t>
            </w:r>
            <w:r w:rsidRPr="00064161">
              <w:t>ersistent and widespread lack of diversity across creative engagement. Tackling antisocial behaviour and hate crime.</w:t>
            </w:r>
          </w:p>
        </w:tc>
        <w:tc>
          <w:tcPr>
            <w:tcW w:w="1701" w:type="dxa"/>
          </w:tcPr>
          <w:p w:rsidR="00E52566" w:rsidRDefault="00E52566" w:rsidP="002D7517">
            <w:r>
              <w:t>3 priority districts/county</w:t>
            </w:r>
          </w:p>
        </w:tc>
      </w:tr>
      <w:tr w:rsidR="00E52566" w:rsidTr="00E52566">
        <w:trPr>
          <w:trHeight w:val="299"/>
        </w:trPr>
        <w:tc>
          <w:tcPr>
            <w:tcW w:w="1702" w:type="dxa"/>
          </w:tcPr>
          <w:p w:rsidR="00E52566" w:rsidRDefault="00E52566" w:rsidP="002D7517">
            <w:pPr>
              <w:rPr>
                <w:b/>
              </w:rPr>
            </w:pPr>
          </w:p>
        </w:tc>
        <w:tc>
          <w:tcPr>
            <w:tcW w:w="2404" w:type="dxa"/>
          </w:tcPr>
          <w:p w:rsidR="00E52566" w:rsidRDefault="00E52566" w:rsidP="002D7517"/>
        </w:tc>
        <w:tc>
          <w:tcPr>
            <w:tcW w:w="4683" w:type="dxa"/>
          </w:tcPr>
          <w:p w:rsidR="00E52566" w:rsidRPr="00E6051E" w:rsidRDefault="00E52566" w:rsidP="002D7517">
            <w:r w:rsidRPr="00A769FA">
              <w:rPr>
                <w:b/>
              </w:rPr>
              <w:t>The 2030 Project:</w:t>
            </w:r>
            <w:r w:rsidRPr="00064161">
              <w:t xml:space="preserve"> Mansfield Museum, Newark and Sherwood Museum </w:t>
            </w:r>
            <w:r>
              <w:t xml:space="preserve">&amp; Bassetlaw Museum </w:t>
            </w:r>
            <w:r w:rsidRPr="00064161">
              <w:t>Service, Sherwood Forrest Visitor Centre use their natural history collections to helps people better understand climate issues</w:t>
            </w:r>
          </w:p>
        </w:tc>
        <w:tc>
          <w:tcPr>
            <w:tcW w:w="4394" w:type="dxa"/>
          </w:tcPr>
          <w:p w:rsidR="00E52566" w:rsidRDefault="00E52566" w:rsidP="00064161">
            <w:r w:rsidRPr="00064161">
              <w:t>A new temporary exhibition that will tour to the three districts and explore climate crisis and environmental degradation over the next 10 years</w:t>
            </w:r>
          </w:p>
        </w:tc>
        <w:tc>
          <w:tcPr>
            <w:tcW w:w="1701" w:type="dxa"/>
          </w:tcPr>
          <w:p w:rsidR="00E52566" w:rsidRDefault="00E52566" w:rsidP="002D7517">
            <w:r>
              <w:t>3 priority districts/county</w:t>
            </w:r>
          </w:p>
        </w:tc>
      </w:tr>
    </w:tbl>
    <w:p w:rsidR="00DF51D2" w:rsidRDefault="00DF51D2">
      <w:pPr>
        <w:rPr>
          <w:b/>
          <w:sz w:val="28"/>
        </w:rPr>
      </w:pPr>
    </w:p>
    <w:sectPr w:rsidR="00DF51D2" w:rsidSect="00C95C0F">
      <w:pgSz w:w="16838" w:h="11906" w:orient="landscape"/>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66502"/>
    <w:multiLevelType w:val="hybridMultilevel"/>
    <w:tmpl w:val="776CE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7E377E"/>
    <w:multiLevelType w:val="hybridMultilevel"/>
    <w:tmpl w:val="1918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00273"/>
    <w:multiLevelType w:val="hybridMultilevel"/>
    <w:tmpl w:val="449A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45826"/>
    <w:multiLevelType w:val="hybridMultilevel"/>
    <w:tmpl w:val="4C30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A3C53"/>
    <w:multiLevelType w:val="hybridMultilevel"/>
    <w:tmpl w:val="DEF86A9E"/>
    <w:lvl w:ilvl="0" w:tplc="8766CFB6">
      <w:start w:val="1"/>
      <w:numFmt w:val="bullet"/>
      <w:lvlText w:val="•"/>
      <w:lvlJc w:val="left"/>
      <w:pPr>
        <w:tabs>
          <w:tab w:val="num" w:pos="720"/>
        </w:tabs>
        <w:ind w:left="720" w:hanging="360"/>
      </w:pPr>
      <w:rPr>
        <w:rFonts w:ascii="Arial" w:hAnsi="Arial" w:hint="default"/>
      </w:rPr>
    </w:lvl>
    <w:lvl w:ilvl="1" w:tplc="1ECCE342">
      <w:start w:val="110"/>
      <w:numFmt w:val="bullet"/>
      <w:lvlText w:val="•"/>
      <w:lvlJc w:val="left"/>
      <w:pPr>
        <w:tabs>
          <w:tab w:val="num" w:pos="1440"/>
        </w:tabs>
        <w:ind w:left="1440" w:hanging="360"/>
      </w:pPr>
      <w:rPr>
        <w:rFonts w:ascii="Arial" w:hAnsi="Arial" w:hint="default"/>
      </w:rPr>
    </w:lvl>
    <w:lvl w:ilvl="2" w:tplc="DE200758" w:tentative="1">
      <w:start w:val="1"/>
      <w:numFmt w:val="bullet"/>
      <w:lvlText w:val="•"/>
      <w:lvlJc w:val="left"/>
      <w:pPr>
        <w:tabs>
          <w:tab w:val="num" w:pos="2160"/>
        </w:tabs>
        <w:ind w:left="2160" w:hanging="360"/>
      </w:pPr>
      <w:rPr>
        <w:rFonts w:ascii="Arial" w:hAnsi="Arial" w:hint="default"/>
      </w:rPr>
    </w:lvl>
    <w:lvl w:ilvl="3" w:tplc="267E08C2" w:tentative="1">
      <w:start w:val="1"/>
      <w:numFmt w:val="bullet"/>
      <w:lvlText w:val="•"/>
      <w:lvlJc w:val="left"/>
      <w:pPr>
        <w:tabs>
          <w:tab w:val="num" w:pos="2880"/>
        </w:tabs>
        <w:ind w:left="2880" w:hanging="360"/>
      </w:pPr>
      <w:rPr>
        <w:rFonts w:ascii="Arial" w:hAnsi="Arial" w:hint="default"/>
      </w:rPr>
    </w:lvl>
    <w:lvl w:ilvl="4" w:tplc="54CC8DB8" w:tentative="1">
      <w:start w:val="1"/>
      <w:numFmt w:val="bullet"/>
      <w:lvlText w:val="•"/>
      <w:lvlJc w:val="left"/>
      <w:pPr>
        <w:tabs>
          <w:tab w:val="num" w:pos="3600"/>
        </w:tabs>
        <w:ind w:left="3600" w:hanging="360"/>
      </w:pPr>
      <w:rPr>
        <w:rFonts w:ascii="Arial" w:hAnsi="Arial" w:hint="default"/>
      </w:rPr>
    </w:lvl>
    <w:lvl w:ilvl="5" w:tplc="5C14C6EA" w:tentative="1">
      <w:start w:val="1"/>
      <w:numFmt w:val="bullet"/>
      <w:lvlText w:val="•"/>
      <w:lvlJc w:val="left"/>
      <w:pPr>
        <w:tabs>
          <w:tab w:val="num" w:pos="4320"/>
        </w:tabs>
        <w:ind w:left="4320" w:hanging="360"/>
      </w:pPr>
      <w:rPr>
        <w:rFonts w:ascii="Arial" w:hAnsi="Arial" w:hint="default"/>
      </w:rPr>
    </w:lvl>
    <w:lvl w:ilvl="6" w:tplc="A52045EC" w:tentative="1">
      <w:start w:val="1"/>
      <w:numFmt w:val="bullet"/>
      <w:lvlText w:val="•"/>
      <w:lvlJc w:val="left"/>
      <w:pPr>
        <w:tabs>
          <w:tab w:val="num" w:pos="5040"/>
        </w:tabs>
        <w:ind w:left="5040" w:hanging="360"/>
      </w:pPr>
      <w:rPr>
        <w:rFonts w:ascii="Arial" w:hAnsi="Arial" w:hint="default"/>
      </w:rPr>
    </w:lvl>
    <w:lvl w:ilvl="7" w:tplc="D8443B62" w:tentative="1">
      <w:start w:val="1"/>
      <w:numFmt w:val="bullet"/>
      <w:lvlText w:val="•"/>
      <w:lvlJc w:val="left"/>
      <w:pPr>
        <w:tabs>
          <w:tab w:val="num" w:pos="5760"/>
        </w:tabs>
        <w:ind w:left="5760" w:hanging="360"/>
      </w:pPr>
      <w:rPr>
        <w:rFonts w:ascii="Arial" w:hAnsi="Arial" w:hint="default"/>
      </w:rPr>
    </w:lvl>
    <w:lvl w:ilvl="8" w:tplc="6BF4D9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315544"/>
    <w:multiLevelType w:val="hybridMultilevel"/>
    <w:tmpl w:val="D10C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C4672D"/>
    <w:multiLevelType w:val="hybridMultilevel"/>
    <w:tmpl w:val="DBA8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C5"/>
    <w:rsid w:val="000306BB"/>
    <w:rsid w:val="00031311"/>
    <w:rsid w:val="0005090D"/>
    <w:rsid w:val="00064161"/>
    <w:rsid w:val="00075C3C"/>
    <w:rsid w:val="00081FAF"/>
    <w:rsid w:val="000C074E"/>
    <w:rsid w:val="000C2CDE"/>
    <w:rsid w:val="00102BF9"/>
    <w:rsid w:val="00112E7A"/>
    <w:rsid w:val="00123B0F"/>
    <w:rsid w:val="0014624F"/>
    <w:rsid w:val="00160109"/>
    <w:rsid w:val="00183BF0"/>
    <w:rsid w:val="00193274"/>
    <w:rsid w:val="001A0CEB"/>
    <w:rsid w:val="001A3D6C"/>
    <w:rsid w:val="001C1E0A"/>
    <w:rsid w:val="001D084C"/>
    <w:rsid w:val="0020225B"/>
    <w:rsid w:val="00206BEC"/>
    <w:rsid w:val="00210F76"/>
    <w:rsid w:val="0025137D"/>
    <w:rsid w:val="002A1FAB"/>
    <w:rsid w:val="002A3162"/>
    <w:rsid w:val="002D7517"/>
    <w:rsid w:val="003241C5"/>
    <w:rsid w:val="003255ED"/>
    <w:rsid w:val="00331E3F"/>
    <w:rsid w:val="00361A4F"/>
    <w:rsid w:val="003748F9"/>
    <w:rsid w:val="00392B2B"/>
    <w:rsid w:val="003A7791"/>
    <w:rsid w:val="00421B4C"/>
    <w:rsid w:val="00421FEC"/>
    <w:rsid w:val="0043339B"/>
    <w:rsid w:val="00466A12"/>
    <w:rsid w:val="00474E3C"/>
    <w:rsid w:val="004863D0"/>
    <w:rsid w:val="00494254"/>
    <w:rsid w:val="004A050E"/>
    <w:rsid w:val="004A4E49"/>
    <w:rsid w:val="005617DA"/>
    <w:rsid w:val="00575C2D"/>
    <w:rsid w:val="00584996"/>
    <w:rsid w:val="00585D12"/>
    <w:rsid w:val="005870DE"/>
    <w:rsid w:val="005930E7"/>
    <w:rsid w:val="005A0615"/>
    <w:rsid w:val="005C3D7F"/>
    <w:rsid w:val="005D4AD4"/>
    <w:rsid w:val="0060577B"/>
    <w:rsid w:val="00627A5E"/>
    <w:rsid w:val="00634F61"/>
    <w:rsid w:val="006912DF"/>
    <w:rsid w:val="006D15B1"/>
    <w:rsid w:val="006D6843"/>
    <w:rsid w:val="00730CB5"/>
    <w:rsid w:val="00731277"/>
    <w:rsid w:val="00761C71"/>
    <w:rsid w:val="007A291A"/>
    <w:rsid w:val="007B0DCE"/>
    <w:rsid w:val="007B165F"/>
    <w:rsid w:val="007D7D18"/>
    <w:rsid w:val="007E649A"/>
    <w:rsid w:val="007F6167"/>
    <w:rsid w:val="008379B2"/>
    <w:rsid w:val="008534EB"/>
    <w:rsid w:val="00854B43"/>
    <w:rsid w:val="008A26AD"/>
    <w:rsid w:val="008A5630"/>
    <w:rsid w:val="008E3F71"/>
    <w:rsid w:val="00930891"/>
    <w:rsid w:val="00932F8C"/>
    <w:rsid w:val="0093361B"/>
    <w:rsid w:val="00934E70"/>
    <w:rsid w:val="0097352F"/>
    <w:rsid w:val="00976ED5"/>
    <w:rsid w:val="0098231C"/>
    <w:rsid w:val="0099708A"/>
    <w:rsid w:val="009B5E50"/>
    <w:rsid w:val="009B5F92"/>
    <w:rsid w:val="009D55A5"/>
    <w:rsid w:val="009D63FF"/>
    <w:rsid w:val="00A230A2"/>
    <w:rsid w:val="00A24999"/>
    <w:rsid w:val="00A31B3D"/>
    <w:rsid w:val="00A33F6B"/>
    <w:rsid w:val="00A56F6C"/>
    <w:rsid w:val="00A73A8A"/>
    <w:rsid w:val="00A769FA"/>
    <w:rsid w:val="00AC699F"/>
    <w:rsid w:val="00AD7F3A"/>
    <w:rsid w:val="00AE4AF1"/>
    <w:rsid w:val="00AF13C2"/>
    <w:rsid w:val="00AF7369"/>
    <w:rsid w:val="00B000B4"/>
    <w:rsid w:val="00B05415"/>
    <w:rsid w:val="00B10F95"/>
    <w:rsid w:val="00B368F4"/>
    <w:rsid w:val="00B53D3F"/>
    <w:rsid w:val="00B56038"/>
    <w:rsid w:val="00B63AED"/>
    <w:rsid w:val="00B66FB6"/>
    <w:rsid w:val="00B91AC8"/>
    <w:rsid w:val="00B964AA"/>
    <w:rsid w:val="00BA6F45"/>
    <w:rsid w:val="00BF7E95"/>
    <w:rsid w:val="00C050D7"/>
    <w:rsid w:val="00C415EB"/>
    <w:rsid w:val="00C52FC9"/>
    <w:rsid w:val="00C95C0F"/>
    <w:rsid w:val="00CA7AA6"/>
    <w:rsid w:val="00CB4A68"/>
    <w:rsid w:val="00CC46F8"/>
    <w:rsid w:val="00CD3256"/>
    <w:rsid w:val="00CE4C8F"/>
    <w:rsid w:val="00D0332F"/>
    <w:rsid w:val="00D06678"/>
    <w:rsid w:val="00D33A13"/>
    <w:rsid w:val="00D42583"/>
    <w:rsid w:val="00D55784"/>
    <w:rsid w:val="00D6566F"/>
    <w:rsid w:val="00D71A5B"/>
    <w:rsid w:val="00D93230"/>
    <w:rsid w:val="00DA752B"/>
    <w:rsid w:val="00DF2D65"/>
    <w:rsid w:val="00DF51D2"/>
    <w:rsid w:val="00DF7B13"/>
    <w:rsid w:val="00E07691"/>
    <w:rsid w:val="00E33A8E"/>
    <w:rsid w:val="00E42406"/>
    <w:rsid w:val="00E52566"/>
    <w:rsid w:val="00E550F3"/>
    <w:rsid w:val="00E6051E"/>
    <w:rsid w:val="00EA2346"/>
    <w:rsid w:val="00EB400E"/>
    <w:rsid w:val="00EF2787"/>
    <w:rsid w:val="00F21129"/>
    <w:rsid w:val="00F4030C"/>
    <w:rsid w:val="00F639D7"/>
    <w:rsid w:val="00F65A0E"/>
    <w:rsid w:val="00FA1273"/>
    <w:rsid w:val="00FA18F0"/>
    <w:rsid w:val="00FB6F42"/>
    <w:rsid w:val="00FC42FF"/>
    <w:rsid w:val="00FF6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6D292-1752-408D-8FCF-DC0F2CD8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8F4"/>
    <w:pPr>
      <w:ind w:left="720"/>
      <w:contextualSpacing/>
    </w:pPr>
  </w:style>
  <w:style w:type="character" w:styleId="Hyperlink">
    <w:name w:val="Hyperlink"/>
    <w:basedOn w:val="DefaultParagraphFont"/>
    <w:uiPriority w:val="99"/>
    <w:unhideWhenUsed/>
    <w:rsid w:val="009D63FF"/>
    <w:rPr>
      <w:color w:val="0563C1" w:themeColor="hyperlink"/>
      <w:u w:val="single"/>
    </w:rPr>
  </w:style>
  <w:style w:type="paragraph" w:styleId="BalloonText">
    <w:name w:val="Balloon Text"/>
    <w:basedOn w:val="Normal"/>
    <w:link w:val="BalloonTextChar"/>
    <w:uiPriority w:val="99"/>
    <w:semiHidden/>
    <w:unhideWhenUsed/>
    <w:rsid w:val="000C0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78169">
      <w:bodyDiv w:val="1"/>
      <w:marLeft w:val="0"/>
      <w:marRight w:val="0"/>
      <w:marTop w:val="0"/>
      <w:marBottom w:val="0"/>
      <w:divBdr>
        <w:top w:val="none" w:sz="0" w:space="0" w:color="auto"/>
        <w:left w:val="none" w:sz="0" w:space="0" w:color="auto"/>
        <w:bottom w:val="none" w:sz="0" w:space="0" w:color="auto"/>
        <w:right w:val="none" w:sz="0" w:space="0" w:color="auto"/>
      </w:divBdr>
    </w:div>
    <w:div w:id="1444617571">
      <w:bodyDiv w:val="1"/>
      <w:marLeft w:val="0"/>
      <w:marRight w:val="0"/>
      <w:marTop w:val="0"/>
      <w:marBottom w:val="0"/>
      <w:divBdr>
        <w:top w:val="none" w:sz="0" w:space="0" w:color="auto"/>
        <w:left w:val="none" w:sz="0" w:space="0" w:color="auto"/>
        <w:bottom w:val="none" w:sz="0" w:space="0" w:color="auto"/>
        <w:right w:val="none" w:sz="0" w:space="0" w:color="auto"/>
      </w:divBdr>
    </w:div>
    <w:div w:id="1876964847">
      <w:bodyDiv w:val="1"/>
      <w:marLeft w:val="0"/>
      <w:marRight w:val="0"/>
      <w:marTop w:val="0"/>
      <w:marBottom w:val="0"/>
      <w:divBdr>
        <w:top w:val="none" w:sz="0" w:space="0" w:color="auto"/>
        <w:left w:val="none" w:sz="0" w:space="0" w:color="auto"/>
        <w:bottom w:val="none" w:sz="0" w:space="0" w:color="auto"/>
        <w:right w:val="none" w:sz="0" w:space="0" w:color="auto"/>
      </w:divBdr>
      <w:divsChild>
        <w:div w:id="289212081">
          <w:marLeft w:val="274"/>
          <w:marRight w:val="0"/>
          <w:marTop w:val="150"/>
          <w:marBottom w:val="0"/>
          <w:divBdr>
            <w:top w:val="none" w:sz="0" w:space="0" w:color="auto"/>
            <w:left w:val="none" w:sz="0" w:space="0" w:color="auto"/>
            <w:bottom w:val="none" w:sz="0" w:space="0" w:color="auto"/>
            <w:right w:val="none" w:sz="0" w:space="0" w:color="auto"/>
          </w:divBdr>
        </w:div>
        <w:div w:id="16124305">
          <w:marLeft w:val="274"/>
          <w:marRight w:val="0"/>
          <w:marTop w:val="150"/>
          <w:marBottom w:val="0"/>
          <w:divBdr>
            <w:top w:val="none" w:sz="0" w:space="0" w:color="auto"/>
            <w:left w:val="none" w:sz="0" w:space="0" w:color="auto"/>
            <w:bottom w:val="none" w:sz="0" w:space="0" w:color="auto"/>
            <w:right w:val="none" w:sz="0" w:space="0" w:color="auto"/>
          </w:divBdr>
        </w:div>
        <w:div w:id="1900051901">
          <w:marLeft w:val="274"/>
          <w:marRight w:val="0"/>
          <w:marTop w:val="150"/>
          <w:marBottom w:val="0"/>
          <w:divBdr>
            <w:top w:val="none" w:sz="0" w:space="0" w:color="auto"/>
            <w:left w:val="none" w:sz="0" w:space="0" w:color="auto"/>
            <w:bottom w:val="none" w:sz="0" w:space="0" w:color="auto"/>
            <w:right w:val="none" w:sz="0" w:space="0" w:color="auto"/>
          </w:divBdr>
        </w:div>
        <w:div w:id="465048366">
          <w:marLeft w:val="274"/>
          <w:marRight w:val="0"/>
          <w:marTop w:val="150"/>
          <w:marBottom w:val="0"/>
          <w:divBdr>
            <w:top w:val="none" w:sz="0" w:space="0" w:color="auto"/>
            <w:left w:val="none" w:sz="0" w:space="0" w:color="auto"/>
            <w:bottom w:val="none" w:sz="0" w:space="0" w:color="auto"/>
            <w:right w:val="none" w:sz="0" w:space="0" w:color="auto"/>
          </w:divBdr>
        </w:div>
        <w:div w:id="255525832">
          <w:marLeft w:val="274"/>
          <w:marRight w:val="0"/>
          <w:marTop w:val="150"/>
          <w:marBottom w:val="0"/>
          <w:divBdr>
            <w:top w:val="none" w:sz="0" w:space="0" w:color="auto"/>
            <w:left w:val="none" w:sz="0" w:space="0" w:color="auto"/>
            <w:bottom w:val="none" w:sz="0" w:space="0" w:color="auto"/>
            <w:right w:val="none" w:sz="0" w:space="0" w:color="auto"/>
          </w:divBdr>
        </w:div>
        <w:div w:id="505630476">
          <w:marLeft w:val="274"/>
          <w:marRight w:val="0"/>
          <w:marTop w:val="150"/>
          <w:marBottom w:val="0"/>
          <w:divBdr>
            <w:top w:val="none" w:sz="0" w:space="0" w:color="auto"/>
            <w:left w:val="none" w:sz="0" w:space="0" w:color="auto"/>
            <w:bottom w:val="none" w:sz="0" w:space="0" w:color="auto"/>
            <w:right w:val="none" w:sz="0" w:space="0" w:color="auto"/>
          </w:divBdr>
        </w:div>
        <w:div w:id="1123159615">
          <w:marLeft w:val="806"/>
          <w:marRight w:val="0"/>
          <w:marTop w:val="75"/>
          <w:marBottom w:val="0"/>
          <w:divBdr>
            <w:top w:val="none" w:sz="0" w:space="0" w:color="auto"/>
            <w:left w:val="none" w:sz="0" w:space="0" w:color="auto"/>
            <w:bottom w:val="none" w:sz="0" w:space="0" w:color="auto"/>
            <w:right w:val="none" w:sz="0" w:space="0" w:color="auto"/>
          </w:divBdr>
        </w:div>
        <w:div w:id="778254610">
          <w:marLeft w:val="806"/>
          <w:marRight w:val="0"/>
          <w:marTop w:val="75"/>
          <w:marBottom w:val="0"/>
          <w:divBdr>
            <w:top w:val="none" w:sz="0" w:space="0" w:color="auto"/>
            <w:left w:val="none" w:sz="0" w:space="0" w:color="auto"/>
            <w:bottom w:val="none" w:sz="0" w:space="0" w:color="auto"/>
            <w:right w:val="none" w:sz="0" w:space="0" w:color="auto"/>
          </w:divBdr>
        </w:div>
        <w:div w:id="1775780064">
          <w:marLeft w:val="806"/>
          <w:marRight w:val="0"/>
          <w:marTop w:val="75"/>
          <w:marBottom w:val="0"/>
          <w:divBdr>
            <w:top w:val="none" w:sz="0" w:space="0" w:color="auto"/>
            <w:left w:val="none" w:sz="0" w:space="0" w:color="auto"/>
            <w:bottom w:val="none" w:sz="0" w:space="0" w:color="auto"/>
            <w:right w:val="none" w:sz="0" w:space="0" w:color="auto"/>
          </w:divBdr>
        </w:div>
        <w:div w:id="960576999">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8824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Bassetlaw District Council</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Beresford</dc:creator>
  <cp:keywords/>
  <dc:description/>
  <cp:lastModifiedBy>Gabriella Wright</cp:lastModifiedBy>
  <cp:revision>2</cp:revision>
  <cp:lastPrinted>2021-04-12T08:48:00Z</cp:lastPrinted>
  <dcterms:created xsi:type="dcterms:W3CDTF">2021-06-03T10:12:00Z</dcterms:created>
  <dcterms:modified xsi:type="dcterms:W3CDTF">2021-06-03T10:12:00Z</dcterms:modified>
</cp:coreProperties>
</file>